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89F" w14:textId="77777777" w:rsidR="002F4BB9" w:rsidRDefault="002F4BB9" w:rsidP="002F4BB9">
      <w:r>
        <w:t>SEG.152.</w:t>
      </w:r>
      <w:r w:rsidR="009F4270">
        <w:t>2.2023</w:t>
      </w:r>
      <w:r>
        <w:t xml:space="preserve">                                                                               Mogilany,</w:t>
      </w:r>
      <w:r w:rsidR="009F4270">
        <w:t>10 lipca 2023</w:t>
      </w:r>
      <w:r>
        <w:t>r.</w:t>
      </w:r>
    </w:p>
    <w:p w14:paraId="710B60B9" w14:textId="77777777" w:rsidR="002F4BB9" w:rsidRDefault="002F4BB9" w:rsidP="002F4BB9">
      <w:r>
        <w:t xml:space="preserve"> </w:t>
      </w:r>
    </w:p>
    <w:p w14:paraId="5C8A87CD" w14:textId="34D89945" w:rsidR="002F4BB9" w:rsidRDefault="009F4270" w:rsidP="002F4BB9">
      <w:r>
        <w:t xml:space="preserve">                                                                                                          </w:t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</w:r>
      <w:r w:rsidR="00DB1D8C">
        <w:tab/>
        <w:t>Pan</w:t>
      </w:r>
      <w:r w:rsidR="00FE0C28">
        <w:t xml:space="preserve"> …………</w:t>
      </w:r>
    </w:p>
    <w:p w14:paraId="72B85BD4" w14:textId="77777777" w:rsidR="00FE0C28" w:rsidRDefault="00FE0C28" w:rsidP="002F4BB9"/>
    <w:p w14:paraId="4AD3AC33" w14:textId="77777777" w:rsidR="002F4BB9" w:rsidRPr="002807C4" w:rsidRDefault="002F4BB9" w:rsidP="002F4BB9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3581EF34" w14:textId="77777777" w:rsidR="002F4BB9" w:rsidRDefault="002F4BB9" w:rsidP="002F4BB9"/>
    <w:p w14:paraId="54C26D17" w14:textId="77777777" w:rsidR="002F4BB9" w:rsidRDefault="002F4BB9" w:rsidP="002F4BB9">
      <w:r>
        <w:t xml:space="preserve">           Działając na podstawie art. 13 ustawy z dnia 11 lipca 2014 r. o petycjach (Dz. U. z 2018 r. poz. 870, zw. dalej: ustawą o petycjach), mając na uwadze złożoną w dniu </w:t>
      </w:r>
      <w:r w:rsidR="00DB1D8C">
        <w:t>27 kwietnia</w:t>
      </w:r>
      <w:r>
        <w:t xml:space="preserve"> 202</w:t>
      </w:r>
      <w:r w:rsidR="00DB1D8C">
        <w:t>3</w:t>
      </w:r>
      <w:r>
        <w:t xml:space="preserve">r. petycję w sprawie  </w:t>
      </w:r>
      <w:r w:rsidR="00DB1D8C">
        <w:t>wycinki drzew na terenie Gminy Mogilany,</w:t>
      </w:r>
      <w:r>
        <w:t xml:space="preserve">  uprzejmie informuję,</w:t>
      </w:r>
      <w:r w:rsidR="00DB1D8C">
        <w:t xml:space="preserve"> że:</w:t>
      </w:r>
    </w:p>
    <w:p w14:paraId="41DFE4F8" w14:textId="77777777" w:rsidR="002F4BB9" w:rsidRDefault="002F4BB9" w:rsidP="002F4BB9">
      <w:r>
        <w:t xml:space="preserve">1/Niniejsza petycja została opublikowana na stronie internetowej </w:t>
      </w:r>
      <w:hyperlink r:id="rId4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14:paraId="455FE139" w14:textId="77777777" w:rsidR="002F4BB9" w:rsidRDefault="00C7236C" w:rsidP="002F4BB9">
      <w:r>
        <w:t>2/</w:t>
      </w:r>
      <w:r w:rsidR="002F4BB9">
        <w:t xml:space="preserve">Niniejsza odpowiedź stanowi jednocześnie potwierdzenie otrzymania petycji w dniu </w:t>
      </w:r>
      <w:r w:rsidR="00DB1D8C">
        <w:t>27 kwietnia 2023</w:t>
      </w:r>
      <w:r w:rsidR="002F4BB9">
        <w:t xml:space="preserve">r. i zostaje przesłana na adres e-mail: </w:t>
      </w:r>
      <w:hyperlink r:id="rId5" w:history="1">
        <w:r w:rsidR="00DB1D8C" w:rsidRPr="00FF3D7C">
          <w:rPr>
            <w:rStyle w:val="Hipercze"/>
          </w:rPr>
          <w:t>LGORKA@GSAUDITORS.PL</w:t>
        </w:r>
      </w:hyperlink>
    </w:p>
    <w:p w14:paraId="0A502D77" w14:textId="77777777" w:rsidR="00DB1D8C" w:rsidRDefault="00C7236C" w:rsidP="002F4BB9">
      <w:r>
        <w:t>3</w:t>
      </w:r>
      <w:r w:rsidR="00DB1D8C">
        <w:t>/</w:t>
      </w:r>
      <w:r w:rsidR="00DB1D8C" w:rsidRPr="00DB1D8C">
        <w:rPr>
          <w:b/>
          <w:bCs/>
        </w:rPr>
        <w:t xml:space="preserve">Petycje </w:t>
      </w:r>
      <w:r w:rsidR="00DB1D8C">
        <w:rPr>
          <w:b/>
          <w:bCs/>
        </w:rPr>
        <w:t>uznaje się za bezzasadną</w:t>
      </w:r>
      <w:r w:rsidR="00DB1D8C">
        <w:t>, uzasadniając to  w następujący sposób:</w:t>
      </w:r>
    </w:p>
    <w:p w14:paraId="40ECD4F8" w14:textId="77777777" w:rsidR="00DB1D8C" w:rsidRDefault="00DB1D8C" w:rsidP="002F4BB9"/>
    <w:p w14:paraId="58B30469" w14:textId="77777777" w:rsidR="00DB1D8C" w:rsidRPr="00156FC4" w:rsidRDefault="00DB1D8C" w:rsidP="00DB1D8C">
      <w:pPr>
        <w:jc w:val="center"/>
        <w:rPr>
          <w:rFonts w:cstheme="minorHAnsi"/>
        </w:rPr>
      </w:pPr>
      <w:r w:rsidRPr="00156FC4">
        <w:rPr>
          <w:rFonts w:cstheme="minorHAnsi"/>
        </w:rPr>
        <w:t xml:space="preserve">U z a s a d n i e n i e </w:t>
      </w:r>
    </w:p>
    <w:p w14:paraId="66BD1393" w14:textId="77777777" w:rsidR="00DB1D8C" w:rsidRPr="00156FC4" w:rsidRDefault="00DB1D8C" w:rsidP="00DB1D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         W dniu 27 kwietnia 2023r. do </w:t>
      </w:r>
      <w:r w:rsidR="00156FC4">
        <w:rPr>
          <w:rFonts w:cstheme="minorHAnsi"/>
          <w:sz w:val="24"/>
          <w:szCs w:val="24"/>
        </w:rPr>
        <w:t>Wójta</w:t>
      </w:r>
      <w:r w:rsidRPr="00156FC4">
        <w:rPr>
          <w:rFonts w:cstheme="minorHAnsi"/>
          <w:sz w:val="24"/>
          <w:szCs w:val="24"/>
        </w:rPr>
        <w:t xml:space="preserve"> Gminy Mogilany wpłynęła od Mieszkańca Gminy </w:t>
      </w:r>
      <w:r w:rsidR="00156FC4">
        <w:rPr>
          <w:rFonts w:cstheme="minorHAnsi"/>
          <w:sz w:val="24"/>
          <w:szCs w:val="24"/>
        </w:rPr>
        <w:t xml:space="preserve">– Pana Łukasza Górki </w:t>
      </w:r>
      <w:r w:rsidRPr="00156FC4">
        <w:rPr>
          <w:rFonts w:cstheme="minorHAnsi"/>
          <w:sz w:val="24"/>
          <w:szCs w:val="24"/>
        </w:rPr>
        <w:t>petycja w sprawie wycinki drzew na terenie Gminy Mogilany.</w:t>
      </w:r>
    </w:p>
    <w:p w14:paraId="7EA4C9A9" w14:textId="77777777" w:rsidR="00DB1D8C" w:rsidRPr="00156FC4" w:rsidRDefault="00DB1D8C" w:rsidP="00DB1D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>W treści petycji domaga się Pan, podjęcia wszelkich przewidzianych prawem działań, zmierzających do powstrzymania już rozpoczętych i zapobieżeniu przyszłych wycinek drzew i całych kompleksów zadrzewionych na terenie Gminy Mogilany.</w:t>
      </w:r>
    </w:p>
    <w:p w14:paraId="12D961BE" w14:textId="77777777" w:rsidR="00DB1D8C" w:rsidRPr="00156FC4" w:rsidRDefault="00DB1D8C" w:rsidP="00DB1D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Podnosi Pan także, że wycinka drzew na wskazanym przez Pana terenie (działki nr 200/5,210/4, 200/7, 216/2 i kolejne) odbyła się bez wiedzy i zgody organu wykonawczego gminy, który sprawuje kontrolę przestrzegania i stosowania przepisów ustawy o ochronie przyrody. Przedstawia Pan również własną, wielowariantową analizę zaistniałego przypadku w ujęciu obowiązujących przepisów. </w:t>
      </w:r>
    </w:p>
    <w:p w14:paraId="3887678D" w14:textId="77777777" w:rsidR="00DB1D8C" w:rsidRPr="00156FC4" w:rsidRDefault="00DB1D8C" w:rsidP="00DB1D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9C6889" w14:textId="77777777" w:rsidR="00DB1D8C" w:rsidRPr="00156FC4" w:rsidRDefault="00DB1D8C" w:rsidP="00C723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 </w:t>
      </w:r>
      <w:r w:rsidR="00C7236C" w:rsidRPr="00156FC4">
        <w:rPr>
          <w:rFonts w:cstheme="minorHAnsi"/>
          <w:sz w:val="24"/>
          <w:szCs w:val="24"/>
        </w:rPr>
        <w:t xml:space="preserve">Po </w:t>
      </w:r>
      <w:r w:rsidRPr="00156FC4">
        <w:rPr>
          <w:rFonts w:cstheme="minorHAnsi"/>
          <w:sz w:val="24"/>
          <w:szCs w:val="24"/>
        </w:rPr>
        <w:t xml:space="preserve"> wnikliw</w:t>
      </w:r>
      <w:r w:rsidR="00C7236C" w:rsidRPr="00156FC4">
        <w:rPr>
          <w:rFonts w:cstheme="minorHAnsi"/>
          <w:sz w:val="24"/>
          <w:szCs w:val="24"/>
        </w:rPr>
        <w:t>ym</w:t>
      </w:r>
      <w:r w:rsidRPr="00156FC4">
        <w:rPr>
          <w:rFonts w:cstheme="minorHAnsi"/>
          <w:sz w:val="24"/>
          <w:szCs w:val="24"/>
        </w:rPr>
        <w:t xml:space="preserve"> zapozn</w:t>
      </w:r>
      <w:r w:rsidR="00C7236C" w:rsidRPr="00156FC4">
        <w:rPr>
          <w:rFonts w:cstheme="minorHAnsi"/>
          <w:sz w:val="24"/>
          <w:szCs w:val="24"/>
        </w:rPr>
        <w:t>aniu</w:t>
      </w:r>
      <w:r w:rsidRPr="00156FC4">
        <w:rPr>
          <w:rFonts w:cstheme="minorHAnsi"/>
          <w:sz w:val="24"/>
          <w:szCs w:val="24"/>
        </w:rPr>
        <w:t xml:space="preserve"> się z treścią petycji</w:t>
      </w:r>
      <w:r w:rsidR="00C7236C" w:rsidRPr="00156FC4">
        <w:rPr>
          <w:rFonts w:cstheme="minorHAnsi"/>
          <w:sz w:val="24"/>
          <w:szCs w:val="24"/>
        </w:rPr>
        <w:t xml:space="preserve">, </w:t>
      </w:r>
      <w:r w:rsidRPr="00156FC4">
        <w:rPr>
          <w:rFonts w:cstheme="minorHAnsi"/>
          <w:sz w:val="24"/>
          <w:szCs w:val="24"/>
        </w:rPr>
        <w:t>Wójta Gminy</w:t>
      </w:r>
      <w:r w:rsidR="00C7236C" w:rsidRPr="00156FC4">
        <w:rPr>
          <w:rFonts w:cstheme="minorHAnsi"/>
          <w:sz w:val="24"/>
          <w:szCs w:val="24"/>
        </w:rPr>
        <w:t xml:space="preserve"> Mogilany informuje, że</w:t>
      </w:r>
      <w:r w:rsidRPr="00156FC4">
        <w:rPr>
          <w:rFonts w:cstheme="minorHAnsi"/>
          <w:sz w:val="24"/>
          <w:szCs w:val="24"/>
        </w:rPr>
        <w:t xml:space="preserve"> </w:t>
      </w:r>
      <w:r w:rsidR="00C7236C" w:rsidRPr="00156FC4">
        <w:rPr>
          <w:rFonts w:cstheme="minorHAnsi"/>
          <w:sz w:val="24"/>
          <w:szCs w:val="24"/>
        </w:rPr>
        <w:t>wycinka</w:t>
      </w:r>
      <w:r w:rsidRPr="00156FC4">
        <w:rPr>
          <w:rFonts w:cstheme="minorHAnsi"/>
          <w:sz w:val="24"/>
          <w:szCs w:val="24"/>
        </w:rPr>
        <w:t xml:space="preserve"> drzew lub krzewów</w:t>
      </w:r>
      <w:r w:rsidRPr="00156FC4">
        <w:rPr>
          <w:rStyle w:val="fn-ref"/>
          <w:rFonts w:cstheme="minorHAnsi"/>
          <w:sz w:val="24"/>
          <w:szCs w:val="24"/>
        </w:rPr>
        <w:t xml:space="preserve"> </w:t>
      </w:r>
      <w:r w:rsidRPr="00156FC4">
        <w:rPr>
          <w:rFonts w:cstheme="minorHAnsi"/>
          <w:sz w:val="24"/>
          <w:szCs w:val="24"/>
        </w:rPr>
        <w:t xml:space="preserve">opiera się o zasadę, która wprowadza </w:t>
      </w:r>
      <w:r w:rsidRPr="00156FC4">
        <w:rPr>
          <w:rFonts w:cstheme="minorHAnsi"/>
          <w:b/>
          <w:bCs/>
          <w:sz w:val="24"/>
          <w:szCs w:val="24"/>
        </w:rPr>
        <w:t>konieczność uzyskania zezwolenia do dokonania wycinki drzewa lub krzewu,</w:t>
      </w:r>
      <w:r w:rsidRPr="00156FC4">
        <w:rPr>
          <w:rFonts w:cstheme="minorHAnsi"/>
          <w:sz w:val="24"/>
          <w:szCs w:val="24"/>
        </w:rPr>
        <w:t xml:space="preserve"> a to zgodnie z </w:t>
      </w:r>
      <w:hyperlink r:id="rId6" w:anchor="/document/17091515" w:history="1">
        <w:r w:rsidRPr="00156FC4">
          <w:rPr>
            <w:rStyle w:val="Hipercze"/>
            <w:rFonts w:cstheme="minorHAnsi"/>
            <w:sz w:val="24"/>
            <w:szCs w:val="24"/>
          </w:rPr>
          <w:t>ustawą</w:t>
        </w:r>
      </w:hyperlink>
      <w:r w:rsidRPr="00156FC4">
        <w:rPr>
          <w:rFonts w:cstheme="minorHAnsi"/>
          <w:sz w:val="24"/>
          <w:szCs w:val="24"/>
        </w:rPr>
        <w:t xml:space="preserve"> z dnia 16 kwietnia 2004r. o ochronie przyrody (</w:t>
      </w:r>
      <w:proofErr w:type="spellStart"/>
      <w:r w:rsidRPr="00156FC4">
        <w:rPr>
          <w:rFonts w:cstheme="minorHAnsi"/>
          <w:sz w:val="24"/>
          <w:szCs w:val="24"/>
        </w:rPr>
        <w:t>t.j</w:t>
      </w:r>
      <w:proofErr w:type="spellEnd"/>
      <w:r w:rsidRPr="00156FC4">
        <w:rPr>
          <w:rFonts w:cstheme="minorHAnsi"/>
          <w:sz w:val="24"/>
          <w:szCs w:val="24"/>
        </w:rPr>
        <w:t xml:space="preserve">. Dz. U. z 2022r.poz.  916 z </w:t>
      </w:r>
      <w:proofErr w:type="spellStart"/>
      <w:r w:rsidRPr="00156FC4">
        <w:rPr>
          <w:rFonts w:cstheme="minorHAnsi"/>
          <w:sz w:val="24"/>
          <w:szCs w:val="24"/>
        </w:rPr>
        <w:t>późn</w:t>
      </w:r>
      <w:proofErr w:type="spellEnd"/>
      <w:r w:rsidRPr="00156FC4">
        <w:rPr>
          <w:rFonts w:cstheme="minorHAnsi"/>
          <w:sz w:val="24"/>
          <w:szCs w:val="24"/>
        </w:rPr>
        <w:t xml:space="preserve">. zm., zw. dalej -  </w:t>
      </w:r>
      <w:proofErr w:type="spellStart"/>
      <w:r w:rsidRPr="00156FC4">
        <w:rPr>
          <w:rFonts w:cstheme="minorHAnsi"/>
          <w:sz w:val="24"/>
          <w:szCs w:val="24"/>
        </w:rPr>
        <w:t>u.o.p</w:t>
      </w:r>
      <w:proofErr w:type="spellEnd"/>
      <w:r w:rsidRPr="00156FC4">
        <w:rPr>
          <w:rFonts w:cstheme="minorHAnsi"/>
          <w:sz w:val="24"/>
          <w:szCs w:val="24"/>
        </w:rPr>
        <w:t xml:space="preserve">.). </w:t>
      </w:r>
    </w:p>
    <w:p w14:paraId="34632138" w14:textId="77777777" w:rsidR="00DB1D8C" w:rsidRPr="00156FC4" w:rsidRDefault="00DB1D8C" w:rsidP="00DB1D8C">
      <w:pPr>
        <w:suppressAutoHyphens/>
        <w:spacing w:before="120"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 </w:t>
      </w:r>
      <w:r w:rsidR="00C7236C" w:rsidRPr="00156FC4">
        <w:rPr>
          <w:rFonts w:cstheme="minorHAnsi"/>
          <w:b/>
          <w:bCs/>
          <w:sz w:val="24"/>
          <w:szCs w:val="24"/>
        </w:rPr>
        <w:t>U</w:t>
      </w:r>
      <w:r w:rsidRPr="00156FC4">
        <w:rPr>
          <w:rFonts w:cstheme="minorHAnsi"/>
          <w:b/>
          <w:bCs/>
          <w:sz w:val="24"/>
          <w:szCs w:val="24"/>
        </w:rPr>
        <w:t>stawodawca pozwala odstąpić od zasady nakazującej chronić drzewa przed wycięciem</w:t>
      </w:r>
      <w:r w:rsidRPr="00156FC4">
        <w:rPr>
          <w:rFonts w:cstheme="minorHAnsi"/>
          <w:sz w:val="24"/>
          <w:szCs w:val="24"/>
        </w:rPr>
        <w:t xml:space="preserve">. Stosownie do normy z </w:t>
      </w:r>
      <w:hyperlink r:id="rId7" w:anchor="/document/16784712?unitId=art(83)ust(1)&amp;cm=DOCUMENT" w:history="1">
        <w:r w:rsidRPr="00156FC4">
          <w:rPr>
            <w:rStyle w:val="Hipercze"/>
            <w:rFonts w:cstheme="minorHAnsi"/>
            <w:sz w:val="24"/>
            <w:szCs w:val="24"/>
          </w:rPr>
          <w:t>art. 83 ust. 1</w:t>
        </w:r>
      </w:hyperlink>
      <w:r w:rsidRPr="00156FC4">
        <w:rPr>
          <w:rFonts w:cstheme="minorHAnsi"/>
          <w:sz w:val="24"/>
          <w:szCs w:val="24"/>
        </w:rPr>
        <w:t xml:space="preserve"> </w:t>
      </w:r>
      <w:proofErr w:type="spellStart"/>
      <w:r w:rsidRPr="00156FC4">
        <w:rPr>
          <w:rFonts w:cstheme="minorHAnsi"/>
          <w:sz w:val="24"/>
          <w:szCs w:val="24"/>
        </w:rPr>
        <w:t>u.o.p</w:t>
      </w:r>
      <w:proofErr w:type="spellEnd"/>
      <w:r w:rsidRPr="00156FC4">
        <w:rPr>
          <w:rFonts w:cstheme="minorHAnsi"/>
          <w:sz w:val="24"/>
          <w:szCs w:val="24"/>
        </w:rPr>
        <w:t xml:space="preserve">. ma to miejsce wyłącznie w przypadkach    szczególnych, jeżeli wymaga tego uzasadniony interes wnioskodawcy, w szczególności   znajdujący odbicie w okolicznościach podanych w art. 125 pkt 3 </w:t>
      </w:r>
      <w:proofErr w:type="spellStart"/>
      <w:r w:rsidRPr="00156FC4">
        <w:rPr>
          <w:rFonts w:cstheme="minorHAnsi"/>
          <w:sz w:val="24"/>
          <w:szCs w:val="24"/>
        </w:rPr>
        <w:t>u.o.p</w:t>
      </w:r>
      <w:proofErr w:type="spellEnd"/>
      <w:r w:rsidRPr="00156FC4">
        <w:rPr>
          <w:rFonts w:cstheme="minorHAnsi"/>
          <w:sz w:val="24"/>
          <w:szCs w:val="24"/>
        </w:rPr>
        <w:t>., czyli jeśli   podyktowane jest to wymogami racjonalnej gospodarki, rozumianymi jako umożliwienie  korzystania z nieruchomości gruntowej zgodnie z jej przeznaczeniem,</w:t>
      </w:r>
    </w:p>
    <w:p w14:paraId="59FE25D4" w14:textId="77777777" w:rsidR="00DB1D8C" w:rsidRPr="00156FC4" w:rsidRDefault="00DB1D8C" w:rsidP="00DB1D8C">
      <w:pPr>
        <w:suppressAutoHyphens/>
        <w:spacing w:before="120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Zezwolenie na usunięcie drzewa lub krzewu z terenu nieruchomości wydaje wójt,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 burmistrz albo prezydent miasta, a w przypadku gdy zezwolenie dotyczy usunięcia drzewa </w:t>
      </w:r>
      <w:r w:rsidRPr="00156FC4">
        <w:rPr>
          <w:rFonts w:eastAsia="Times New Roman" w:cstheme="minorHAnsi"/>
          <w:sz w:val="24"/>
          <w:szCs w:val="24"/>
          <w:lang w:eastAsia="pl-PL"/>
        </w:rPr>
        <w:lastRenderedPageBreak/>
        <w:t>lub krzewu z terenu nieruchomości lub jej części wpisanej do rejestru zabytków - wojewódzki konserwator zabytków,</w:t>
      </w:r>
    </w:p>
    <w:p w14:paraId="05FE109C" w14:textId="77777777" w:rsidR="00DB1D8C" w:rsidRPr="00156FC4" w:rsidRDefault="00DB1D8C" w:rsidP="00DB1D8C">
      <w:pPr>
        <w:suppressAutoHyphens/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56FC4">
        <w:rPr>
          <w:rFonts w:cstheme="minorHAnsi"/>
          <w:b/>
          <w:bCs/>
          <w:sz w:val="24"/>
          <w:szCs w:val="24"/>
        </w:rPr>
        <w:t xml:space="preserve">Zgodnie z art. 83f ust.1 </w:t>
      </w:r>
      <w:proofErr w:type="spellStart"/>
      <w:r w:rsidRPr="00156FC4">
        <w:rPr>
          <w:rFonts w:cstheme="minorHAnsi"/>
          <w:b/>
          <w:bCs/>
          <w:sz w:val="24"/>
          <w:szCs w:val="24"/>
        </w:rPr>
        <w:t>u.o.p</w:t>
      </w:r>
      <w:proofErr w:type="spellEnd"/>
      <w:r w:rsidRPr="00156FC4">
        <w:rPr>
          <w:rFonts w:cstheme="minorHAnsi"/>
          <w:b/>
          <w:bCs/>
          <w:sz w:val="24"/>
          <w:szCs w:val="24"/>
        </w:rPr>
        <w:t>. obowiązku uzyskania zezwolenia na usunięcia drzewa nie stosuje się  m. in. do:</w:t>
      </w:r>
    </w:p>
    <w:p w14:paraId="7ECFD4EF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1) krzewu albo krzewów rosnących w skupisku, o powierzchni do 25 m</w:t>
      </w:r>
      <w:r w:rsidRPr="00156FC4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156FC4">
        <w:rPr>
          <w:rFonts w:eastAsia="Times New Roman" w:cstheme="minorHAnsi"/>
          <w:sz w:val="24"/>
          <w:szCs w:val="24"/>
          <w:lang w:eastAsia="pl-PL"/>
        </w:rPr>
        <w:t>;…</w:t>
      </w:r>
    </w:p>
    <w:p w14:paraId="0628D1BC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3) drzew, których obwód pnia na wysokości 5 cm nie przekracza:</w:t>
      </w:r>
    </w:p>
    <w:p w14:paraId="6702C4FA" w14:textId="77777777" w:rsidR="00DB1D8C" w:rsidRPr="00156FC4" w:rsidRDefault="00DB1D8C" w:rsidP="00DB1D8C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a) 80 cm - w przypadku topoli, wierzb, klonu jesionolistnego oraz klonu srebrzystego,</w:t>
      </w:r>
    </w:p>
    <w:p w14:paraId="704BA70C" w14:textId="77777777" w:rsidR="00DB1D8C" w:rsidRPr="00156FC4" w:rsidRDefault="00DB1D8C" w:rsidP="00DB1D8C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b) 65 cm - w przypadku kasztanowca zwyczajnego, robinii akacjowej oraz platanu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klonolistnego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>,</w:t>
      </w:r>
    </w:p>
    <w:p w14:paraId="21547DB5" w14:textId="77777777" w:rsidR="00DB1D8C" w:rsidRPr="00156FC4" w:rsidRDefault="00DB1D8C" w:rsidP="00DB1D8C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c) 50 cm - w przypadku pozostałych gatunków drzew;</w:t>
      </w:r>
    </w:p>
    <w:p w14:paraId="41675674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3a) drzew lub krzewów, które rosną na nieruchomościach stanowiących własność osób fizycznych i są usuwane na cele niezwiązane z prowadzeniem działalności gospodarczej;</w:t>
      </w:r>
    </w:p>
    <w:p w14:paraId="346C87D8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3b) drzew lub krzewów usuwanych w celu przywrócenia gruntów nieużytkowanych</w:t>
      </w:r>
      <w:r w:rsidRPr="00156FC4">
        <w:rPr>
          <w:rFonts w:eastAsia="Times New Roman" w:cstheme="minorHAnsi"/>
          <w:sz w:val="24"/>
          <w:szCs w:val="24"/>
          <w:lang w:eastAsia="pl-PL"/>
        </w:rPr>
        <w:br/>
        <w:t>do użytkowania rolniczego;</w:t>
      </w:r>
    </w:p>
    <w:p w14:paraId="42A42BEE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4) drzew lub krzewów na plantacjach lub w lasach w rozumieniu </w:t>
      </w:r>
      <w:hyperlink r:id="rId8" w:anchor="/document/16794405?cm=DOCUMENT" w:history="1">
        <w:r w:rsidRPr="00156FC4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156FC4">
        <w:rPr>
          <w:rFonts w:eastAsia="Times New Roman" w:cstheme="minorHAnsi"/>
          <w:sz w:val="24"/>
          <w:szCs w:val="24"/>
          <w:lang w:eastAsia="pl-PL"/>
        </w:rPr>
        <w:t xml:space="preserve"> z dnia 28 września 1991r. o lasach;</w:t>
      </w:r>
    </w:p>
    <w:p w14:paraId="2F3627B9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5) drzew lub krzewów owocowych, z wyłączeniem rosnących na terenie nieruchomości</w:t>
      </w:r>
      <w:r w:rsidRPr="00156FC4">
        <w:rPr>
          <w:rFonts w:eastAsia="Times New Roman" w:cstheme="minorHAnsi"/>
          <w:sz w:val="24"/>
          <w:szCs w:val="24"/>
          <w:lang w:eastAsia="pl-PL"/>
        </w:rPr>
        <w:br/>
        <w:t>lub jej części wpisanej do rejestru zabytków lub na terenach zieleni;…</w:t>
      </w:r>
    </w:p>
    <w:p w14:paraId="4B9EAB04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10) drzew lub krzewów usuwanych na podstawie decyzji właściwego organu ze względu</w:t>
      </w:r>
      <w:r w:rsidRPr="00156FC4">
        <w:rPr>
          <w:rFonts w:eastAsia="Times New Roman" w:cstheme="minorHAnsi"/>
          <w:sz w:val="24"/>
          <w:szCs w:val="24"/>
          <w:lang w:eastAsia="pl-PL"/>
        </w:rPr>
        <w:br/>
        <w:t>na potrzeby związane z utrzymaniem urządzeń melioracji wodnych szczegółowych;…</w:t>
      </w:r>
    </w:p>
    <w:p w14:paraId="211384E2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12) prowadzenia akcji ratowniczej przez jednostki ochrony przeciwpożarowej lub inne właściwe służby ustawowo powołane do niesienia pomocy osobom w stanie nagłego zagrożenia życia lub zdrowia;…</w:t>
      </w:r>
    </w:p>
    <w:p w14:paraId="04DD9012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14) drzew lub krzewów stanowiących złomy lub wywroty …</w:t>
      </w:r>
    </w:p>
    <w:p w14:paraId="42ECBE55" w14:textId="77777777" w:rsidR="00DB1D8C" w:rsidRPr="00156FC4" w:rsidRDefault="00DB1D8C" w:rsidP="00DB1D8C">
      <w:pPr>
        <w:pStyle w:val="Akapitzlist"/>
        <w:spacing w:before="120"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Zgodnie z art. 83f ust. 4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u.o.p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 w przypadku, o którym mowa w ust. 1 pkt 3a, 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właściciel nieruchomości jest obowiązany dokonać zgłoszenia do organu,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 o którym mowa w art. 83a ust. 1, 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zamiaru usunięcia drzewa,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 jeżeli obwód pnia drzewa mierzonego na wysokości 5 cm przekracza:</w:t>
      </w:r>
    </w:p>
    <w:p w14:paraId="0F4E9AC6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1) 80 cm - w przypadku topoli, wierzb, klonu jesionolistnego oraz klonu srebrzystego;</w:t>
      </w:r>
    </w:p>
    <w:p w14:paraId="559453E1" w14:textId="77777777" w:rsidR="00DB1D8C" w:rsidRPr="00156FC4" w:rsidRDefault="00DB1D8C" w:rsidP="00DB1D8C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2)</w:t>
      </w:r>
      <w:r w:rsidRPr="00156FC4">
        <w:rPr>
          <w:rFonts w:cstheme="minorHAnsi"/>
          <w:sz w:val="24"/>
          <w:szCs w:val="24"/>
          <w:lang w:eastAsia="pl-PL"/>
        </w:rPr>
        <w:t> 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65 cm - w przypadku kasztanowca zwyczajnego, robinii akacjowej oraz platanu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klonolistnego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>;</w:t>
      </w:r>
    </w:p>
    <w:p w14:paraId="3662B030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3)</w:t>
      </w:r>
      <w:r w:rsidRPr="00156FC4">
        <w:rPr>
          <w:rFonts w:cstheme="minorHAnsi"/>
          <w:sz w:val="24"/>
          <w:szCs w:val="24"/>
          <w:lang w:eastAsia="pl-PL"/>
        </w:rPr>
        <w:t> </w:t>
      </w:r>
      <w:r w:rsidRPr="00156FC4">
        <w:rPr>
          <w:rFonts w:eastAsia="Times New Roman" w:cstheme="minorHAnsi"/>
          <w:sz w:val="24"/>
          <w:szCs w:val="24"/>
          <w:lang w:eastAsia="pl-PL"/>
        </w:rPr>
        <w:t>50 cm - w przypadku pozostałych gatunków drzew.</w:t>
      </w:r>
    </w:p>
    <w:p w14:paraId="030DE5ED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473A6953" w14:textId="77777777" w:rsidR="00DB1D8C" w:rsidRPr="00156FC4" w:rsidRDefault="00DB1D8C" w:rsidP="00DB1D8C">
      <w:pPr>
        <w:spacing w:after="0" w:line="240" w:lineRule="auto"/>
        <w:ind w:left="284" w:firstLine="283"/>
        <w:rPr>
          <w:rFonts w:cstheme="minorHAnsi"/>
          <w:sz w:val="24"/>
          <w:szCs w:val="24"/>
        </w:rPr>
      </w:pPr>
      <w:r w:rsidRPr="00156FC4">
        <w:rPr>
          <w:rFonts w:cstheme="minorHAnsi"/>
          <w:b/>
          <w:bCs/>
          <w:sz w:val="24"/>
          <w:szCs w:val="24"/>
        </w:rPr>
        <w:t xml:space="preserve">Nowelizacja </w:t>
      </w:r>
      <w:proofErr w:type="spellStart"/>
      <w:r w:rsidRPr="00156FC4">
        <w:rPr>
          <w:rFonts w:cstheme="minorHAnsi"/>
          <w:b/>
          <w:bCs/>
          <w:sz w:val="24"/>
          <w:szCs w:val="24"/>
        </w:rPr>
        <w:t>u.o.p</w:t>
      </w:r>
      <w:proofErr w:type="spellEnd"/>
      <w:r w:rsidRPr="00156FC4">
        <w:rPr>
          <w:rFonts w:cstheme="minorHAnsi"/>
          <w:b/>
          <w:bCs/>
          <w:sz w:val="24"/>
          <w:szCs w:val="24"/>
        </w:rPr>
        <w:t>. obowiązująca od dnia 17 czerwca 2017r. utrzymała prawo właściciela nieruchomości - osoby fizycznej do usuwania wszystkich drzew rosnących na terenie stanowiącym jego własność,</w:t>
      </w:r>
      <w:r w:rsidRPr="00156FC4">
        <w:rPr>
          <w:rFonts w:cstheme="minorHAnsi"/>
          <w:sz w:val="24"/>
          <w:szCs w:val="24"/>
        </w:rPr>
        <w:t xml:space="preserve"> jeżeli wycinka nie jest związana z prowadzoną działalnością gospodarczą. </w:t>
      </w:r>
    </w:p>
    <w:p w14:paraId="26E75FC9" w14:textId="77777777" w:rsidR="00DB1D8C" w:rsidRPr="00156FC4" w:rsidRDefault="00DB1D8C" w:rsidP="00DB1D8C">
      <w:pPr>
        <w:spacing w:after="0" w:line="240" w:lineRule="auto"/>
        <w:ind w:left="284" w:firstLine="283"/>
        <w:rPr>
          <w:rFonts w:cstheme="minorHAnsi"/>
          <w:sz w:val="24"/>
          <w:szCs w:val="24"/>
        </w:rPr>
      </w:pPr>
      <w:r w:rsidRPr="00156FC4">
        <w:rPr>
          <w:rFonts w:cstheme="minorHAnsi"/>
          <w:b/>
          <w:bCs/>
          <w:sz w:val="24"/>
          <w:szCs w:val="24"/>
        </w:rPr>
        <w:t>Jedynym ograniczeniem jest obowiązek zgłoszenia zamiaru usunięcia drzew</w:t>
      </w:r>
      <w:r w:rsidRPr="00156FC4">
        <w:rPr>
          <w:rFonts w:cstheme="minorHAnsi"/>
          <w:sz w:val="24"/>
          <w:szCs w:val="24"/>
        </w:rPr>
        <w:t xml:space="preserve">. </w:t>
      </w:r>
    </w:p>
    <w:p w14:paraId="15526934" w14:textId="77777777" w:rsidR="00DB1D8C" w:rsidRPr="00156FC4" w:rsidRDefault="00DB1D8C" w:rsidP="00DB1D8C">
      <w:pPr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Drzewa mogą zostać usunięte, jeżeli organ nie zgłosi sprzeciwu, </w:t>
      </w:r>
      <w:r w:rsidRPr="00156FC4">
        <w:rPr>
          <w:rFonts w:cstheme="minorHAnsi"/>
          <w:b/>
          <w:bCs/>
          <w:sz w:val="24"/>
          <w:szCs w:val="24"/>
        </w:rPr>
        <w:t xml:space="preserve">przy czym przesłanki organu do zgłoszenia sprzeciwu zostały enumeratywnie wskazane w art. 83f ust. 14 i 15 </w:t>
      </w:r>
      <w:proofErr w:type="spellStart"/>
      <w:r w:rsidRPr="00156FC4">
        <w:rPr>
          <w:rFonts w:cstheme="minorHAnsi"/>
          <w:b/>
          <w:bCs/>
          <w:sz w:val="24"/>
          <w:szCs w:val="24"/>
        </w:rPr>
        <w:t>u.o.p</w:t>
      </w:r>
      <w:proofErr w:type="spellEnd"/>
      <w:r w:rsidRPr="00156FC4">
        <w:rPr>
          <w:rFonts w:cstheme="minorHAnsi"/>
          <w:b/>
          <w:bCs/>
          <w:sz w:val="24"/>
          <w:szCs w:val="24"/>
        </w:rPr>
        <w:t xml:space="preserve">. </w:t>
      </w:r>
    </w:p>
    <w:p w14:paraId="159AB8CC" w14:textId="77777777" w:rsidR="00DB1D8C" w:rsidRPr="00156FC4" w:rsidRDefault="00DB1D8C" w:rsidP="00DB1D8C">
      <w:pPr>
        <w:spacing w:after="0" w:line="240" w:lineRule="auto"/>
        <w:ind w:left="284" w:firstLine="283"/>
        <w:rPr>
          <w:rFonts w:cstheme="minorHAnsi"/>
          <w:b/>
          <w:bCs/>
          <w:sz w:val="24"/>
          <w:szCs w:val="24"/>
        </w:rPr>
      </w:pPr>
      <w:r w:rsidRPr="00156FC4">
        <w:rPr>
          <w:rFonts w:cstheme="minorHAnsi"/>
          <w:b/>
          <w:bCs/>
          <w:sz w:val="24"/>
          <w:szCs w:val="24"/>
        </w:rPr>
        <w:t>W konsekwencji powyższego organ</w:t>
      </w:r>
      <w:r w:rsidR="00C7236C" w:rsidRPr="00156FC4">
        <w:rPr>
          <w:rFonts w:cstheme="minorHAnsi"/>
          <w:b/>
          <w:bCs/>
          <w:sz w:val="24"/>
          <w:szCs w:val="24"/>
        </w:rPr>
        <w:t xml:space="preserve"> (wójt)</w:t>
      </w:r>
      <w:r w:rsidRPr="00156FC4">
        <w:rPr>
          <w:rFonts w:cstheme="minorHAnsi"/>
          <w:b/>
          <w:bCs/>
          <w:sz w:val="24"/>
          <w:szCs w:val="24"/>
        </w:rPr>
        <w:t xml:space="preserve"> nie może sprzeciwić się usunięciu drzew zdrowych, cennych przyrodniczo, które nie kolidują z planowanymi inwestycjami niezwiązanymi z prowadzoną działalnością gospodarczą, jeżeli nie zachodzi któryś</w:t>
      </w:r>
      <w:r w:rsidRPr="00156FC4">
        <w:rPr>
          <w:rFonts w:cstheme="minorHAnsi"/>
          <w:b/>
          <w:bCs/>
          <w:sz w:val="24"/>
          <w:szCs w:val="24"/>
        </w:rPr>
        <w:br/>
        <w:t xml:space="preserve">z przypadków wskazanych w art. 83f ust. 14 i 15 </w:t>
      </w:r>
      <w:proofErr w:type="spellStart"/>
      <w:r w:rsidRPr="00156FC4">
        <w:rPr>
          <w:rFonts w:cstheme="minorHAnsi"/>
          <w:b/>
          <w:bCs/>
          <w:sz w:val="24"/>
          <w:szCs w:val="24"/>
        </w:rPr>
        <w:t>u.o.p</w:t>
      </w:r>
      <w:proofErr w:type="spellEnd"/>
      <w:r w:rsidRPr="00156FC4">
        <w:rPr>
          <w:rFonts w:cstheme="minorHAnsi"/>
          <w:b/>
          <w:bCs/>
          <w:sz w:val="24"/>
          <w:szCs w:val="24"/>
        </w:rPr>
        <w:t>.</w:t>
      </w:r>
    </w:p>
    <w:p w14:paraId="6BB039D5" w14:textId="77777777" w:rsidR="00DB1D8C" w:rsidRPr="00156FC4" w:rsidRDefault="00DB1D8C" w:rsidP="00DB1D8C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cstheme="minorHAnsi"/>
          <w:sz w:val="24"/>
          <w:szCs w:val="24"/>
        </w:rPr>
        <w:lastRenderedPageBreak/>
        <w:t xml:space="preserve"> </w:t>
      </w:r>
    </w:p>
    <w:p w14:paraId="62A78468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Zgodnie z poglądami wyrażonymi w komentarzu Krzysztofa Gruszeckiego</w:t>
      </w:r>
      <w:r w:rsidRPr="00156FC4">
        <w:rPr>
          <w:rFonts w:eastAsia="Times New Roman" w:cstheme="minorHAnsi"/>
          <w:sz w:val="24"/>
          <w:szCs w:val="24"/>
          <w:lang w:eastAsia="pl-PL"/>
        </w:rPr>
        <w:br/>
        <w:t xml:space="preserve">do ustawy o ochronie przyrody (LEX/el. 2020 - komentarz, wyd. II stan prawny: 14 kwietnia 2020 r.), a które Wojewódzki Sąd Administracyjny w Krakowie aprobuje, wynika, że "zgodnie z postanowieniami </w:t>
      </w:r>
      <w:hyperlink r:id="rId9" w:anchor="/document/16796586?unitId=art(2)ust(1)&amp;cm=DOCUMENT" w:history="1">
        <w:r w:rsidRPr="00156FC4">
          <w:rPr>
            <w:rFonts w:eastAsia="Times New Roman" w:cstheme="minorHAnsi"/>
            <w:sz w:val="24"/>
            <w:szCs w:val="24"/>
            <w:lang w:eastAsia="pl-PL"/>
          </w:rPr>
          <w:t>art. 2 ust. 1</w:t>
        </w:r>
      </w:hyperlink>
      <w:r w:rsidRPr="00156FC4">
        <w:rPr>
          <w:rFonts w:eastAsia="Times New Roman" w:cstheme="minorHAnsi"/>
          <w:sz w:val="24"/>
          <w:szCs w:val="24"/>
          <w:lang w:eastAsia="pl-PL"/>
        </w:rPr>
        <w:t xml:space="preserve"> ustawy z dnia 3 lutego 1995 r. o ochronie gruntów rolnych i leśnych - 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gruntami rolnymi w rozumieniu ustawy są grunty określone w ewidencji gruntów jako użytki rolne”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F8F7680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Z powyższego wynika zatem, że podstawowym sposobem ochrony gruntów rolnych jest ich właściwe zagospodarowanie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, które będzie przeciwdziałało procesom degradacji wynikającym z braku przeprowadzania niezbędnych zabiegów agrotechnicznych. </w:t>
      </w:r>
    </w:p>
    <w:p w14:paraId="4DC1FBD8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25E7642A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Potwierdzeniem sposobu użytkowania charakteru konkretnego gruntu jest jego wpis do ewidencji gruntów rolnych i leśnych prowadzonej na podstawie </w:t>
      </w:r>
      <w:hyperlink r:id="rId10" w:anchor="/document/16793127?unitId=art(20)ust(1)&amp;cm=DOCUMENT" w:history="1">
        <w:r w:rsidRPr="00156FC4">
          <w:rPr>
            <w:rFonts w:eastAsia="Times New Roman" w:cstheme="minorHAnsi"/>
            <w:b/>
            <w:bCs/>
            <w:sz w:val="24"/>
            <w:szCs w:val="24"/>
            <w:lang w:eastAsia="pl-PL"/>
          </w:rPr>
          <w:t>art. 20 ust. 1</w:t>
        </w:r>
      </w:hyperlink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56FC4">
        <w:rPr>
          <w:rFonts w:eastAsia="Times New Roman" w:cstheme="minorHAnsi"/>
          <w:sz w:val="24"/>
          <w:szCs w:val="24"/>
          <w:lang w:eastAsia="pl-PL"/>
        </w:rPr>
        <w:t>ustawy z dnia 17 maja 1989 r. - Prawo geodezyjne i kartograficzne”.</w:t>
      </w:r>
    </w:p>
    <w:p w14:paraId="38FA58CE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772D9D7E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Zgodnie zaś z postanowieniami art. 3 ust. 1 pkt 2 ustawy o ochronie gruntów rolnych</w:t>
      </w:r>
      <w:r w:rsidRPr="00156FC4">
        <w:rPr>
          <w:rFonts w:eastAsia="Times New Roman" w:cstheme="minorHAnsi"/>
          <w:sz w:val="24"/>
          <w:szCs w:val="24"/>
          <w:lang w:eastAsia="pl-PL"/>
        </w:rPr>
        <w:br/>
        <w:t xml:space="preserve">i leśnych, ochrona gruntów rolnych polega na zapobieganiu procesom degradacji i dewastacji gruntów rolnych oraz szkodom w produkcji rolniczej, powstającym wskutek działalności nierolniczej i ruchów masowych ziemi. </w:t>
      </w:r>
    </w:p>
    <w:p w14:paraId="2BFFCFA1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Oznacza to w praktyce, że każdy posiadacz nieruchomości rolnej powinien podejmować w pierwszej kolejności działania zmierzające do utrzymania jej we właściwym stanie, którego standardem jest sposób zagospodarowania nieruchomości wynikający z ewidencji gruntów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0FCD19D9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4A6562D0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u w:val="single"/>
          <w:lang w:eastAsia="pl-PL"/>
        </w:rPr>
        <w:t>J</w:t>
      </w:r>
      <w:r w:rsidRPr="00156F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ednym z takich działań może być usuwanie drzew kolidujących z działalnością rolniczą.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56FC4">
        <w:rPr>
          <w:rFonts w:eastAsia="Times New Roman" w:cstheme="minorHAnsi"/>
          <w:sz w:val="24"/>
          <w:szCs w:val="24"/>
          <w:lang w:eastAsia="pl-PL"/>
        </w:rPr>
        <w:t>Podejmowanie działań zmierzających do utrzymania użytków rolnych we właściwym stanie, w żaden sposób nie zmienia również uchwalenie dla danego terenu miejscowego planu zagospodarowania przestrzennego. To nadmienić należy, że przedmiotowe działki są przeznaczone w planie zagospodarowania przestrzennego – w całości,  pod budowę. Jednakże, jak wynika z postanowień art. 35 ustawy o planowaniu przestrzennym, uchwalenie planu miejscowego nie wyklucza dotychczasowego sposobu korzystania z nieruchomości ( w tym konkretnym przypadku - na cele rolnicze)</w:t>
      </w:r>
    </w:p>
    <w:p w14:paraId="2E8C9C42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Dlatego też podjęcie działań zmierzających do utrzymania użytków rolnych we właściwym stanie, już po uchwaleniu miejscowego planu zagospodarowania przestrzennego, </w:t>
      </w:r>
      <w:r w:rsidRPr="00156F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 żadnym razie nie może być traktowane jako pozostające z nim w sprzeczności.</w:t>
      </w:r>
    </w:p>
    <w:p w14:paraId="63534985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0D386057" w14:textId="77777777" w:rsidR="00DB1D8C" w:rsidRPr="00156FC4" w:rsidRDefault="00DB1D8C" w:rsidP="00DB1D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gruncie </w:t>
      </w:r>
      <w:r w:rsidR="00C7236C"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aktualnych 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przepisów</w:t>
      </w:r>
      <w:r w:rsidR="00C7236C"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prawnych, obowiązują następujące zasady </w:t>
      </w:r>
      <w:r w:rsidR="00156FC4"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dot. </w:t>
      </w:r>
      <w:r w:rsidR="00C7236C" w:rsidRPr="00156FC4">
        <w:rPr>
          <w:rFonts w:eastAsia="Times New Roman" w:cstheme="minorHAnsi"/>
          <w:b/>
          <w:bCs/>
          <w:sz w:val="24"/>
          <w:szCs w:val="24"/>
          <w:lang w:eastAsia="pl-PL"/>
        </w:rPr>
        <w:t>wycinki drzew i krzewów: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6D4A818" w14:textId="77777777" w:rsidR="00DB1D8C" w:rsidRPr="00156FC4" w:rsidRDefault="00DB1D8C" w:rsidP="00DB1D8C">
      <w:pPr>
        <w:spacing w:before="240"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Każdy złożony do urzędu wniosek z zakresu usunięcia drzew lub krzewów, Wójt Gminy Mogilany rozpatruje, zgodnie z powyższymi przepisami. </w:t>
      </w:r>
      <w:r w:rsidRPr="00156FC4">
        <w:rPr>
          <w:rFonts w:cstheme="minorHAnsi"/>
          <w:bCs/>
          <w:sz w:val="24"/>
          <w:szCs w:val="24"/>
        </w:rPr>
        <w:t xml:space="preserve">Działania Wójta w zakresie usuwania drzew i krzewów są ograniczone, bowiem jeśli mamy do czynienia z gruntami, które są objęte miejscowym planem zagospodarowania przestrzennego pod tereny inwestycyjne i będzie tam realizowana inwestycja, to sprzeciw może być tylko wydany co do drzew, które są pomnikami przyrody. </w:t>
      </w:r>
      <w:r w:rsidRPr="00156FC4">
        <w:rPr>
          <w:rFonts w:cstheme="minorHAnsi"/>
          <w:sz w:val="24"/>
          <w:szCs w:val="24"/>
        </w:rPr>
        <w:t xml:space="preserve">Niestety, na terenie wskazanym w petycji - pomników przyrody nie ma. </w:t>
      </w:r>
    </w:p>
    <w:p w14:paraId="67418D4A" w14:textId="77777777" w:rsidR="00DB1D8C" w:rsidRPr="00156FC4" w:rsidRDefault="00DB1D8C" w:rsidP="00DB1D8C">
      <w:pPr>
        <w:pStyle w:val="TitleStyle"/>
        <w:rPr>
          <w:rFonts w:asciiTheme="minorHAnsi" w:hAnsiTheme="minorHAnsi" w:cstheme="minorHAnsi"/>
          <w:szCs w:val="24"/>
        </w:rPr>
      </w:pPr>
      <w:r w:rsidRPr="00156FC4">
        <w:rPr>
          <w:rFonts w:asciiTheme="minorHAnsi" w:hAnsiTheme="minorHAnsi" w:cstheme="minorHAnsi"/>
          <w:b w:val="0"/>
          <w:bCs/>
          <w:szCs w:val="24"/>
        </w:rPr>
        <w:lastRenderedPageBreak/>
        <w:t xml:space="preserve">Wskazane grunty, zgodnie z ewidencją gruntów i budynków, mają charakter użytków rolniczych.  </w:t>
      </w:r>
      <w:r w:rsidRPr="00156FC4">
        <w:rPr>
          <w:rFonts w:asciiTheme="minorHAnsi" w:hAnsiTheme="minorHAnsi" w:cstheme="minorHAnsi"/>
          <w:szCs w:val="24"/>
        </w:rPr>
        <w:t xml:space="preserve">Co daje jej właścicielowi możliwość przywrócenia do stanu ewidencyjnego, jeśli do tej pory nie były to tereny utrzymane w dobrej kulturze, czyli doszło do zasiania tam samosiejek. </w:t>
      </w:r>
    </w:p>
    <w:p w14:paraId="58D6314A" w14:textId="77777777" w:rsidR="00DB1D8C" w:rsidRPr="00156FC4" w:rsidRDefault="00DB1D8C" w:rsidP="00DB1D8C">
      <w:pPr>
        <w:pStyle w:val="TitleStyle"/>
        <w:rPr>
          <w:rFonts w:asciiTheme="minorHAnsi" w:hAnsiTheme="minorHAnsi" w:cstheme="minorHAnsi"/>
          <w:szCs w:val="24"/>
        </w:rPr>
      </w:pPr>
      <w:r w:rsidRPr="00156FC4">
        <w:rPr>
          <w:rFonts w:asciiTheme="minorHAnsi" w:hAnsiTheme="minorHAnsi" w:cstheme="minorHAnsi"/>
          <w:szCs w:val="24"/>
        </w:rPr>
        <w:t>Potwierdza to, Wyrok Wojewódzkiego Sądu Administracyjnego w Krakowie (LEX nr 3152988) - WSA II SA/Kr 931/19 dot. podejmowania działań zmierzających do utrzymania użytków rolnych we właściwym stanie.</w:t>
      </w:r>
    </w:p>
    <w:p w14:paraId="2C2DC2D2" w14:textId="77777777" w:rsidR="00DB1D8C" w:rsidRPr="00156FC4" w:rsidRDefault="00DB1D8C" w:rsidP="00DB1D8C">
      <w:pPr>
        <w:spacing w:before="25" w:after="0"/>
        <w:jc w:val="both"/>
        <w:rPr>
          <w:rFonts w:cstheme="minorHAnsi"/>
          <w:i/>
          <w:iCs/>
          <w:sz w:val="24"/>
          <w:szCs w:val="24"/>
        </w:rPr>
      </w:pPr>
      <w:r w:rsidRPr="00156FC4">
        <w:rPr>
          <w:rFonts w:cstheme="minorHAnsi"/>
          <w:sz w:val="24"/>
          <w:szCs w:val="24"/>
        </w:rPr>
        <w:t>Aktualna teza wyroku brzmi : „</w:t>
      </w:r>
      <w:r w:rsidRPr="00156FC4">
        <w:rPr>
          <w:rFonts w:cstheme="minorHAnsi"/>
          <w:i/>
          <w:iCs/>
          <w:color w:val="000000"/>
          <w:sz w:val="24"/>
          <w:szCs w:val="24"/>
        </w:rPr>
        <w:t xml:space="preserve">Każdy posiadacz nieruchomości rolnej powinien podejmować w pierwszej kolejności działania zmierzające do utrzymania jej we właściwym stanie, którego standardem jest sposób zagospodarowania nieruchomości wynikający z ewidencji gruntów. Dlatego też podmiot władający </w:t>
      </w:r>
      <w:r w:rsidRPr="00156FC4">
        <w:rPr>
          <w:rFonts w:cstheme="minorHAnsi"/>
          <w:b/>
          <w:bCs/>
          <w:i/>
          <w:iCs/>
          <w:color w:val="000000"/>
          <w:sz w:val="24"/>
          <w:szCs w:val="24"/>
        </w:rPr>
        <w:t>nieruchomością rolną zobowiązany jest do podejmowania działań mających na celu jej utrzymanie we właściwym stanie zagospodarowania lub przywrócenia takiego stanu.</w:t>
      </w:r>
      <w:r w:rsidRPr="00156FC4">
        <w:rPr>
          <w:rFonts w:cstheme="minorHAnsi"/>
          <w:i/>
          <w:iCs/>
          <w:color w:val="000000"/>
          <w:sz w:val="24"/>
          <w:szCs w:val="24"/>
        </w:rPr>
        <w:t xml:space="preserve"> Jednym z takich działań może być usuwanie drzew kolidujących z działalnością rolniczą”.</w:t>
      </w:r>
    </w:p>
    <w:p w14:paraId="7297AB15" w14:textId="77777777" w:rsidR="00DB1D8C" w:rsidRPr="00156FC4" w:rsidRDefault="00DB1D8C" w:rsidP="00DB1D8C">
      <w:pPr>
        <w:pStyle w:val="TitleStyle"/>
        <w:rPr>
          <w:rFonts w:asciiTheme="minorHAnsi" w:hAnsiTheme="minorHAnsi" w:cstheme="minorHAnsi"/>
          <w:bCs/>
          <w:szCs w:val="24"/>
        </w:rPr>
      </w:pPr>
    </w:p>
    <w:p w14:paraId="3F8B38B1" w14:textId="77777777" w:rsidR="00DB1D8C" w:rsidRPr="00156FC4" w:rsidRDefault="00DB1D8C" w:rsidP="00DB1D8C">
      <w:pPr>
        <w:spacing w:before="120" w:after="0" w:line="24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W petycji poruszono także kwestie decyzji o środowiskowych uwarunkowaniach.</w:t>
      </w:r>
      <w:r w:rsidR="00C7236C" w:rsidRPr="00156FC4">
        <w:rPr>
          <w:rFonts w:eastAsia="Times New Roman" w:cstheme="minorHAnsi"/>
          <w:sz w:val="24"/>
          <w:szCs w:val="24"/>
          <w:lang w:eastAsia="pl-PL"/>
        </w:rPr>
        <w:t xml:space="preserve"> Wyjaśnia się, że 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decyzja środowiskowa wydawana jest w oparciu o ustawę </w:t>
      </w:r>
      <w:r w:rsidRPr="00156FC4">
        <w:rPr>
          <w:rFonts w:cstheme="minorHAnsi"/>
          <w:sz w:val="24"/>
          <w:szCs w:val="24"/>
        </w:rPr>
        <w:t>z dnia 3 października 2008r. o udostępnianiu informacji o środowisku i jego ochronie, udziale społeczeństwa w ochronie środowiska oraz o ocenach oddziaływania na środowisko (</w:t>
      </w:r>
      <w:proofErr w:type="spellStart"/>
      <w:r w:rsidRPr="00156FC4">
        <w:rPr>
          <w:rFonts w:cstheme="minorHAnsi"/>
          <w:sz w:val="24"/>
          <w:szCs w:val="24"/>
        </w:rPr>
        <w:t>t.j</w:t>
      </w:r>
      <w:proofErr w:type="spellEnd"/>
      <w:r w:rsidRPr="00156FC4">
        <w:rPr>
          <w:rFonts w:cstheme="minorHAnsi"/>
          <w:sz w:val="24"/>
          <w:szCs w:val="24"/>
        </w:rPr>
        <w:t xml:space="preserve">. Dz. U. z 2022r. poz. 1029 z </w:t>
      </w:r>
      <w:proofErr w:type="spellStart"/>
      <w:r w:rsidRPr="00156FC4">
        <w:rPr>
          <w:rFonts w:cstheme="minorHAnsi"/>
          <w:sz w:val="24"/>
          <w:szCs w:val="24"/>
        </w:rPr>
        <w:t>późn</w:t>
      </w:r>
      <w:proofErr w:type="spellEnd"/>
      <w:r w:rsidRPr="00156FC4">
        <w:rPr>
          <w:rFonts w:cstheme="minorHAnsi"/>
          <w:sz w:val="24"/>
          <w:szCs w:val="24"/>
        </w:rPr>
        <w:t xml:space="preserve">. zm. dalej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u.o.o.ś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.).Aby była ona wymagana, muszą zachodzić przesłanki art. 71 ust. 2 i art. 72 ust. 1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u.o.o.ś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B0AC613" w14:textId="77777777" w:rsidR="00DB1D8C" w:rsidRPr="00156FC4" w:rsidRDefault="00DB1D8C" w:rsidP="00DB1D8C">
      <w:pPr>
        <w:spacing w:before="120" w:after="0" w:line="24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</w:p>
    <w:p w14:paraId="475DB6B2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Zgodnie z art.</w:t>
      </w:r>
      <w:r w:rsidRPr="00156FC4">
        <w:rPr>
          <w:rFonts w:cstheme="minorHAnsi"/>
          <w:b/>
          <w:bCs/>
          <w:sz w:val="24"/>
          <w:szCs w:val="24"/>
          <w:lang w:eastAsia="pl-PL"/>
        </w:rPr>
        <w:t> 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71 ust. 2 </w:t>
      </w:r>
      <w:proofErr w:type="spellStart"/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u.o.o.ś</w:t>
      </w:r>
      <w:proofErr w:type="spellEnd"/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>. uzyskanie decyzji o środowiskowych uwarunkowaniach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br/>
        <w:t>jest wymagane dla planowanych:</w:t>
      </w:r>
    </w:p>
    <w:p w14:paraId="7136A4CD" w14:textId="77777777" w:rsidR="00DB1D8C" w:rsidRPr="00156FC4" w:rsidRDefault="00DB1D8C" w:rsidP="00DB1D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1) przedsięwzięć mogących zawsze znacząco oddziaływać na środowisko;</w:t>
      </w:r>
    </w:p>
    <w:p w14:paraId="585D3A04" w14:textId="77777777" w:rsidR="00DB1D8C" w:rsidRPr="00156FC4" w:rsidRDefault="00DB1D8C" w:rsidP="00DB1D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>2) przedsięwzięć mogących potencjalnie znacząco oddziaływać na środowisko.</w:t>
      </w:r>
    </w:p>
    <w:p w14:paraId="0B879AE0" w14:textId="77777777" w:rsidR="00DB1D8C" w:rsidRPr="00156FC4" w:rsidRDefault="00DB1D8C" w:rsidP="00DB1D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C4D3AAB" w14:textId="77777777" w:rsidR="00DB1D8C" w:rsidRPr="00156FC4" w:rsidRDefault="00DB1D8C" w:rsidP="00DB1D8C">
      <w:pPr>
        <w:spacing w:after="0" w:line="240" w:lineRule="auto"/>
        <w:rPr>
          <w:rFonts w:cstheme="minorHAnsi"/>
          <w:sz w:val="24"/>
          <w:szCs w:val="24"/>
        </w:rPr>
      </w:pPr>
      <w:r w:rsidRPr="00156FC4">
        <w:rPr>
          <w:rFonts w:cstheme="minorHAnsi"/>
          <w:sz w:val="24"/>
          <w:szCs w:val="24"/>
        </w:rPr>
        <w:t xml:space="preserve">W </w:t>
      </w:r>
      <w:hyperlink r:id="rId11" w:anchor="/document/18895096?cm=DOCUMENT" w:history="1">
        <w:r w:rsidRPr="00156FC4">
          <w:rPr>
            <w:rFonts w:cstheme="minorHAnsi"/>
            <w:sz w:val="24"/>
            <w:szCs w:val="24"/>
          </w:rPr>
          <w:t>rozporządzeniu</w:t>
        </w:r>
      </w:hyperlink>
      <w:r w:rsidRPr="00156FC4">
        <w:rPr>
          <w:rFonts w:cstheme="minorHAnsi"/>
          <w:sz w:val="24"/>
          <w:szCs w:val="24"/>
        </w:rPr>
        <w:t xml:space="preserve"> Rady Ministrów z 10.09.2019r. w sprawie przedsięwzięć mogących znacząco oddziaływać na środowisko (Dz. U. z 2019r. poz. 1839) zawarto wyliczenie przedsięwzięć mogących zawsze znacząco oddziaływać na środowisko oraz mogących potencjalnie znacząco oddziaływać na środowisko.</w:t>
      </w:r>
    </w:p>
    <w:p w14:paraId="69D0B445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Przy czym w art. 72 ust. 1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u.o.o.ś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 ustawodawca wyliczył 28 przypadków, w których jest wymagane wydanie decyzji o środowiskowych uwarunkowaniach. </w:t>
      </w: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tym enumeratywnym, zamkniętym katalogu nie wymieniono wydania zezwolenia na usunięcie drzew. </w:t>
      </w:r>
    </w:p>
    <w:p w14:paraId="06A0A88A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C6E7811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Ustawodawca w art. 71 </w:t>
      </w:r>
      <w:proofErr w:type="spellStart"/>
      <w:r w:rsidRPr="00156FC4">
        <w:rPr>
          <w:rFonts w:eastAsia="Times New Roman" w:cstheme="minorHAnsi"/>
          <w:sz w:val="24"/>
          <w:szCs w:val="24"/>
          <w:lang w:eastAsia="pl-PL"/>
        </w:rPr>
        <w:t>u.o.o.ś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 wskazał, iż realizacja jakiego rodzaju przedsięwzięć będzie musiała zostać poprzedzona wydaniem takiej decyzji. </w:t>
      </w:r>
    </w:p>
    <w:p w14:paraId="15011E63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W celu prawidłowego ustalenia zakresu przedsięwzięć wymagających uzyskania decyzji o uwarunkowaniach środowiskowych </w:t>
      </w:r>
      <w:r w:rsidRPr="00156FC4">
        <w:rPr>
          <w:rFonts w:eastAsia="Times New Roman" w:cstheme="minorHAnsi"/>
          <w:sz w:val="24"/>
          <w:szCs w:val="24"/>
          <w:u w:val="single"/>
          <w:lang w:eastAsia="pl-PL"/>
        </w:rPr>
        <w:t xml:space="preserve">niezbędne jest łączne uwzględnienie art. 71 i art. 72 </w:t>
      </w:r>
      <w:proofErr w:type="spellStart"/>
      <w:r w:rsidRPr="00156FC4">
        <w:rPr>
          <w:rFonts w:eastAsia="Times New Roman" w:cstheme="minorHAnsi"/>
          <w:sz w:val="24"/>
          <w:szCs w:val="24"/>
          <w:u w:val="single"/>
          <w:lang w:eastAsia="pl-PL"/>
        </w:rPr>
        <w:t>u.o.o.ś</w:t>
      </w:r>
      <w:proofErr w:type="spellEnd"/>
      <w:r w:rsidRPr="00156FC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6F77941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sz w:val="24"/>
          <w:szCs w:val="24"/>
          <w:lang w:eastAsia="pl-PL"/>
        </w:rPr>
        <w:t xml:space="preserve">Z treści tych przepisów wynika, że organ właściwy do wydania takiej decyzji nie ma swobody kwalifikacji przedsięwzięć w zakresie obowiązku uzyskania decyzji o środowiskowych uwarunkowaniach. </w:t>
      </w:r>
    </w:p>
    <w:p w14:paraId="3EF3A2C8" w14:textId="77777777" w:rsidR="00DB1D8C" w:rsidRPr="00156FC4" w:rsidRDefault="00DB1D8C" w:rsidP="00DB1D8C">
      <w:pPr>
        <w:spacing w:before="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FC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 związku z tym wydanie decyzji w tych przypadkach, gdy nie jest ona wymagana, skutkować będzie tym, że obarczona będzie wadą nieważności</w:t>
      </w:r>
      <w:r w:rsidRPr="00156FC4">
        <w:rPr>
          <w:rFonts w:eastAsia="Times New Roman" w:cstheme="minorHAnsi"/>
          <w:sz w:val="24"/>
          <w:szCs w:val="24"/>
          <w:lang w:eastAsia="pl-PL"/>
        </w:rPr>
        <w:t xml:space="preserve"> wymienioną w art. 156 § 1 pkt 2 - </w:t>
      </w:r>
      <w:r w:rsidRPr="00156FC4">
        <w:rPr>
          <w:rFonts w:cstheme="minorHAnsi"/>
          <w:sz w:val="24"/>
          <w:szCs w:val="24"/>
        </w:rPr>
        <w:t>Kodeks postępowania administracyjnego (</w:t>
      </w:r>
      <w:proofErr w:type="spellStart"/>
      <w:r w:rsidRPr="00156FC4">
        <w:rPr>
          <w:rFonts w:cstheme="minorHAnsi"/>
          <w:sz w:val="24"/>
          <w:szCs w:val="24"/>
        </w:rPr>
        <w:t>t.j</w:t>
      </w:r>
      <w:proofErr w:type="spellEnd"/>
      <w:r w:rsidRPr="00156FC4">
        <w:rPr>
          <w:rFonts w:cstheme="minorHAnsi"/>
          <w:sz w:val="24"/>
          <w:szCs w:val="24"/>
        </w:rPr>
        <w:t xml:space="preserve">. Dz. U. z 2023r. poz. 775 z </w:t>
      </w:r>
      <w:proofErr w:type="spellStart"/>
      <w:r w:rsidRPr="00156FC4">
        <w:rPr>
          <w:rFonts w:cstheme="minorHAnsi"/>
          <w:sz w:val="24"/>
          <w:szCs w:val="24"/>
        </w:rPr>
        <w:t>późn</w:t>
      </w:r>
      <w:proofErr w:type="spellEnd"/>
      <w:r w:rsidRPr="00156FC4">
        <w:rPr>
          <w:rFonts w:cstheme="minorHAnsi"/>
          <w:sz w:val="24"/>
          <w:szCs w:val="24"/>
        </w:rPr>
        <w:t>. zm.).</w:t>
      </w:r>
    </w:p>
    <w:p w14:paraId="23B8A947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E42BB5E" w14:textId="77777777" w:rsidR="00DB1D8C" w:rsidRPr="00156FC4" w:rsidRDefault="00DB1D8C" w:rsidP="00DB1D8C">
      <w:pPr>
        <w:spacing w:after="0" w:line="240" w:lineRule="auto"/>
        <w:ind w:left="284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611AF64A" w14:textId="77777777" w:rsidR="00DB1D8C" w:rsidRPr="00156FC4" w:rsidRDefault="00DB1D8C" w:rsidP="00DB1D8C">
      <w:pPr>
        <w:spacing w:after="0" w:line="240" w:lineRule="auto"/>
        <w:ind w:firstLine="284"/>
        <w:rPr>
          <w:rFonts w:eastAsia="Calibri" w:cstheme="minorHAnsi"/>
          <w:sz w:val="24"/>
          <w:szCs w:val="24"/>
        </w:rPr>
      </w:pPr>
    </w:p>
    <w:p w14:paraId="62675982" w14:textId="77777777" w:rsidR="00DB1D8C" w:rsidRPr="00156FC4" w:rsidRDefault="00DB1D8C" w:rsidP="00DB1D8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56FC4">
        <w:rPr>
          <w:rFonts w:eastAsia="Calibri" w:cstheme="minorHAnsi"/>
          <w:sz w:val="24"/>
          <w:szCs w:val="24"/>
        </w:rPr>
        <w:t xml:space="preserve">Przedstawiając powyższe  nietrudno zauważyć, że możliwości </w:t>
      </w:r>
      <w:r w:rsidR="00C7236C" w:rsidRPr="00156FC4">
        <w:rPr>
          <w:rFonts w:eastAsia="Calibri" w:cstheme="minorHAnsi"/>
          <w:sz w:val="24"/>
          <w:szCs w:val="24"/>
        </w:rPr>
        <w:t>Wójta</w:t>
      </w:r>
      <w:r w:rsidRPr="00156FC4">
        <w:rPr>
          <w:rFonts w:eastAsia="Calibri" w:cstheme="minorHAnsi"/>
          <w:sz w:val="24"/>
          <w:szCs w:val="24"/>
        </w:rPr>
        <w:t xml:space="preserve"> Gminy Mogilany w zakresie zareagowania na kwestię wycinki drzew na terenie wskazanym przez </w:t>
      </w:r>
      <w:r w:rsidR="00C7236C" w:rsidRPr="00156FC4">
        <w:rPr>
          <w:rFonts w:eastAsia="Calibri" w:cstheme="minorHAnsi"/>
          <w:sz w:val="24"/>
          <w:szCs w:val="24"/>
        </w:rPr>
        <w:t>Pana</w:t>
      </w:r>
      <w:r w:rsidRPr="00156FC4">
        <w:rPr>
          <w:rFonts w:eastAsia="Calibri" w:cstheme="minorHAnsi"/>
          <w:sz w:val="24"/>
          <w:szCs w:val="24"/>
        </w:rPr>
        <w:t xml:space="preserve">, są ograniczone. Ingerencja w prawo własności nie jest możliwa. </w:t>
      </w:r>
    </w:p>
    <w:p w14:paraId="31E1CE42" w14:textId="77777777" w:rsidR="00DB1D8C" w:rsidRPr="00156FC4" w:rsidRDefault="00DB1D8C" w:rsidP="00DB1D8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56FC4">
        <w:rPr>
          <w:rFonts w:eastAsia="Calibri" w:cstheme="minorHAnsi"/>
          <w:sz w:val="24"/>
          <w:szCs w:val="24"/>
        </w:rPr>
        <w:t>Plan zagospodarowania przestrzennego w całości przeznaczył wskazane działki pod budowę.</w:t>
      </w:r>
    </w:p>
    <w:p w14:paraId="3EB28162" w14:textId="77777777" w:rsidR="00DB1D8C" w:rsidRPr="00156FC4" w:rsidRDefault="00DB1D8C" w:rsidP="00DB1D8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1A6A69" w14:textId="77777777" w:rsidR="00DB1D8C" w:rsidRPr="00156FC4" w:rsidRDefault="00156FC4" w:rsidP="00C7236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Przedstawiając powyższe uzasadnienie, </w:t>
      </w:r>
      <w:r w:rsidR="00C7236C" w:rsidRPr="00156FC4">
        <w:rPr>
          <w:rFonts w:eastAsia="Calibri" w:cstheme="minorHAnsi"/>
          <w:b/>
          <w:bCs/>
          <w:sz w:val="24"/>
          <w:szCs w:val="24"/>
        </w:rPr>
        <w:t xml:space="preserve"> p</w:t>
      </w:r>
      <w:r w:rsidR="00DB1D8C" w:rsidRPr="00156FC4">
        <w:rPr>
          <w:rFonts w:eastAsia="Calibri" w:cstheme="minorHAnsi"/>
          <w:b/>
          <w:bCs/>
          <w:sz w:val="24"/>
          <w:szCs w:val="24"/>
        </w:rPr>
        <w:t>etycję należy uznać za bezzasadn</w:t>
      </w:r>
      <w:r w:rsidR="00C7236C" w:rsidRPr="00156FC4">
        <w:rPr>
          <w:rFonts w:eastAsia="Calibri" w:cstheme="minorHAnsi"/>
          <w:b/>
          <w:bCs/>
          <w:sz w:val="24"/>
          <w:szCs w:val="24"/>
        </w:rPr>
        <w:t>ą.</w:t>
      </w:r>
    </w:p>
    <w:p w14:paraId="4D7127DE" w14:textId="77777777" w:rsidR="00DB1D8C" w:rsidRPr="00156FC4" w:rsidRDefault="00DB1D8C" w:rsidP="002F4BB9">
      <w:pPr>
        <w:rPr>
          <w:rFonts w:cstheme="minorHAnsi"/>
        </w:rPr>
      </w:pPr>
    </w:p>
    <w:p w14:paraId="091354CE" w14:textId="77777777" w:rsidR="00DB1D8C" w:rsidRPr="00156FC4" w:rsidRDefault="00DB1D8C" w:rsidP="002F4BB9">
      <w:pPr>
        <w:rPr>
          <w:rFonts w:cstheme="minorHAnsi"/>
        </w:rPr>
      </w:pPr>
    </w:p>
    <w:p w14:paraId="45A91E8E" w14:textId="77777777" w:rsidR="002F4BB9" w:rsidRPr="00156FC4" w:rsidRDefault="002F4BB9" w:rsidP="002F4BB9">
      <w:pPr>
        <w:rPr>
          <w:rFonts w:cstheme="minorHAnsi"/>
        </w:rPr>
      </w:pPr>
    </w:p>
    <w:p w14:paraId="0405FE83" w14:textId="77777777" w:rsidR="002F4BB9" w:rsidRPr="00156FC4" w:rsidRDefault="002F4BB9" w:rsidP="002F4BB9">
      <w:pPr>
        <w:jc w:val="center"/>
        <w:rPr>
          <w:rFonts w:cstheme="minorHAnsi"/>
          <w:b/>
          <w:bCs/>
        </w:rPr>
      </w:pPr>
      <w:r w:rsidRPr="00156FC4">
        <w:rPr>
          <w:rFonts w:cstheme="minorHAnsi"/>
          <w:b/>
          <w:bCs/>
        </w:rPr>
        <w:t>POUCZENIE</w:t>
      </w:r>
    </w:p>
    <w:p w14:paraId="7501A1A8" w14:textId="77777777" w:rsidR="002F4BB9" w:rsidRPr="00156FC4" w:rsidRDefault="002F4BB9" w:rsidP="002F4BB9">
      <w:pPr>
        <w:rPr>
          <w:rFonts w:cstheme="minorHAnsi"/>
        </w:rPr>
      </w:pPr>
      <w:r w:rsidRPr="00156FC4">
        <w:rPr>
          <w:rFonts w:cstheme="minorHAnsi"/>
        </w:rPr>
        <w:t>Zgodnie z art.13ust.2 ustawy o petycjach sposób załatwienia petycji nie może być przedmiotem skargi.</w:t>
      </w:r>
    </w:p>
    <w:p w14:paraId="5AA3A177" w14:textId="77777777" w:rsidR="002F4BB9" w:rsidRPr="00156FC4" w:rsidRDefault="002F4BB9" w:rsidP="002F4BB9">
      <w:pPr>
        <w:rPr>
          <w:rFonts w:cstheme="minorHAnsi"/>
        </w:rPr>
      </w:pPr>
      <w:r w:rsidRPr="00156FC4">
        <w:rPr>
          <w:rFonts w:cstheme="minorHAnsi"/>
        </w:rPr>
        <w:t>Otrzymują:</w:t>
      </w:r>
    </w:p>
    <w:p w14:paraId="527640C0" w14:textId="77777777" w:rsidR="002F4BB9" w:rsidRPr="00156FC4" w:rsidRDefault="002F4BB9" w:rsidP="002F4BB9">
      <w:pPr>
        <w:rPr>
          <w:rFonts w:cstheme="minorHAnsi"/>
        </w:rPr>
      </w:pPr>
      <w:r w:rsidRPr="00156FC4">
        <w:rPr>
          <w:rFonts w:cstheme="minorHAnsi"/>
        </w:rPr>
        <w:t>1/Adresat</w:t>
      </w:r>
    </w:p>
    <w:p w14:paraId="1D9EDC85" w14:textId="77777777" w:rsidR="002F4BB9" w:rsidRPr="00156FC4" w:rsidRDefault="002F4BB9" w:rsidP="002F4BB9">
      <w:pPr>
        <w:rPr>
          <w:rFonts w:cstheme="minorHAnsi"/>
        </w:rPr>
      </w:pPr>
      <w:r w:rsidRPr="00156FC4">
        <w:rPr>
          <w:rFonts w:cstheme="minorHAnsi"/>
        </w:rPr>
        <w:t>2/a/a</w:t>
      </w:r>
    </w:p>
    <w:p w14:paraId="727E9AD4" w14:textId="77777777" w:rsidR="002F4BB9" w:rsidRPr="00156FC4" w:rsidRDefault="002F4BB9" w:rsidP="002F4BB9">
      <w:pPr>
        <w:rPr>
          <w:rFonts w:cstheme="minorHAnsi"/>
        </w:rPr>
      </w:pPr>
    </w:p>
    <w:p w14:paraId="7E069FE9" w14:textId="77777777" w:rsidR="002F4BB9" w:rsidRPr="00156FC4" w:rsidRDefault="002F4BB9" w:rsidP="002F4BB9">
      <w:pPr>
        <w:rPr>
          <w:rFonts w:cstheme="minorHAnsi"/>
        </w:rPr>
      </w:pPr>
      <w:r w:rsidRPr="00156FC4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5F31B93C" w14:textId="77777777" w:rsidR="002F4BB9" w:rsidRPr="00156FC4" w:rsidRDefault="002F4BB9" w:rsidP="002F4BB9">
      <w:pPr>
        <w:rPr>
          <w:rFonts w:cstheme="minorHAnsi"/>
        </w:rPr>
      </w:pPr>
    </w:p>
    <w:sectPr w:rsidR="002F4BB9" w:rsidRPr="0015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B9"/>
    <w:rsid w:val="00156FC4"/>
    <w:rsid w:val="002F4BB9"/>
    <w:rsid w:val="009F4270"/>
    <w:rsid w:val="00C7236C"/>
    <w:rsid w:val="00DB1D8C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0081"/>
  <w15:chartTrackingRefBased/>
  <w15:docId w15:val="{B9EB0F2F-8620-48B0-844B-00B2BD94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B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B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D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1D8C"/>
    <w:pPr>
      <w:spacing w:after="200" w:line="276" w:lineRule="auto"/>
      <w:ind w:left="720"/>
      <w:contextualSpacing/>
    </w:pPr>
  </w:style>
  <w:style w:type="character" w:customStyle="1" w:styleId="fn-ref">
    <w:name w:val="fn-ref"/>
    <w:basedOn w:val="Domylnaczcionkaakapitu"/>
    <w:rsid w:val="00DB1D8C"/>
  </w:style>
  <w:style w:type="paragraph" w:customStyle="1" w:styleId="TitleStyle">
    <w:name w:val="TitleStyle"/>
    <w:rsid w:val="00DB1D8C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mailto:LGORKA@GSAUDITORS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://www.mogilany.pl" TargetMode="Externa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Paulina Sikora</cp:lastModifiedBy>
  <cp:revision>2</cp:revision>
  <dcterms:created xsi:type="dcterms:W3CDTF">2023-07-10T13:52:00Z</dcterms:created>
  <dcterms:modified xsi:type="dcterms:W3CDTF">2023-07-10T13:52:00Z</dcterms:modified>
</cp:coreProperties>
</file>